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val="0"/>
        <w:spacing w:before="0" w:after="0" w:line="580" w:lineRule="exact"/>
        <w:rPr>
          <w:rFonts w:hint="eastAsia" w:ascii="黑体" w:cs="宋体"/>
          <w:b w:val="0"/>
          <w:bCs w:val="0"/>
          <w:color w:val="000000"/>
          <w:spacing w:val="20"/>
          <w:lang w:bidi="ar-SA"/>
        </w:rPr>
      </w:pPr>
      <w:bookmarkStart w:id="0" w:name="_Toc8715"/>
      <w:r>
        <w:rPr>
          <w:rFonts w:hint="eastAsia" w:ascii="黑体" w:cs="宋体"/>
          <w:b w:val="0"/>
          <w:bCs w:val="0"/>
          <w:color w:val="000000"/>
          <w:spacing w:val="20"/>
          <w:lang w:bidi="ar-SA"/>
        </w:rPr>
        <w:t>附件2</w:t>
      </w:r>
    </w:p>
    <w:p>
      <w:pPr>
        <w:pStyle w:val="2"/>
        <w:keepNext w:val="0"/>
        <w:keepLines w:val="0"/>
        <w:widowControl w:val="0"/>
        <w:spacing w:before="0" w:after="0" w:line="580" w:lineRule="exact"/>
        <w:jc w:val="center"/>
        <w:rPr>
          <w:rFonts w:hint="eastAsia" w:ascii="方正小标宋简体" w:eastAsia="方正小标宋简体" w:cs="宋体"/>
          <w:b w:val="0"/>
          <w:bCs w:val="0"/>
          <w:color w:val="000000"/>
          <w:spacing w:val="20"/>
          <w:sz w:val="44"/>
          <w:szCs w:val="44"/>
          <w:lang w:bidi="ar-SA"/>
        </w:rPr>
      </w:pPr>
      <w:r>
        <w:rPr>
          <w:rFonts w:hint="eastAsia" w:ascii="方正小标宋简体" w:eastAsia="方正小标宋简体" w:cs="宋体"/>
          <w:b w:val="0"/>
          <w:bCs w:val="0"/>
          <w:color w:val="000000"/>
          <w:spacing w:val="20"/>
          <w:sz w:val="44"/>
          <w:szCs w:val="44"/>
          <w:lang w:bidi="ar-SA"/>
        </w:rPr>
        <w:t>评分标准</w:t>
      </w:r>
    </w:p>
    <w:p>
      <w:pPr>
        <w:spacing w:after="0" w:line="580" w:lineRule="exact"/>
        <w:jc w:val="both"/>
        <w:rPr>
          <w:rFonts w:hint="eastAsia" w:ascii="仿宋_GB2312" w:eastAsia="仿宋_GB2312"/>
          <w:b/>
          <w:spacing w:val="20"/>
          <w:sz w:val="32"/>
          <w:szCs w:val="32"/>
        </w:rPr>
      </w:pPr>
      <w:r>
        <w:rPr>
          <w:rFonts w:hint="eastAsia" w:ascii="仿宋_GB2312" w:eastAsia="仿宋_GB2312" w:cs="宋体"/>
          <w:bCs/>
          <w:color w:val="000000"/>
          <w:spacing w:val="20"/>
          <w:sz w:val="32"/>
          <w:szCs w:val="32"/>
          <w:lang w:bidi="ar-SA"/>
        </w:rPr>
        <w:t xml:space="preserve"> </w:t>
      </w:r>
      <w:r>
        <w:rPr>
          <w:rFonts w:hint="eastAsia" w:ascii="仿宋_GB2312" w:eastAsia="仿宋_GB2312" w:cs="宋体"/>
          <w:color w:val="000000"/>
          <w:spacing w:val="20"/>
          <w:sz w:val="32"/>
          <w:szCs w:val="32"/>
          <w:lang w:bidi="ar-SA"/>
        </w:rPr>
        <w:t xml:space="preserve">     </w:t>
      </w:r>
      <w:bookmarkEnd w:id="0"/>
    </w:p>
    <w:tbl>
      <w:tblPr>
        <w:tblStyle w:val="6"/>
        <w:tblW w:w="9609" w:type="dxa"/>
        <w:tblInd w:w="93" w:type="dxa"/>
        <w:tblLayout w:type="autofit"/>
        <w:tblCellMar>
          <w:top w:w="0" w:type="dxa"/>
          <w:left w:w="108" w:type="dxa"/>
          <w:bottom w:w="0" w:type="dxa"/>
          <w:right w:w="108" w:type="dxa"/>
        </w:tblCellMar>
      </w:tblPr>
      <w:tblGrid>
        <w:gridCol w:w="487"/>
        <w:gridCol w:w="1028"/>
        <w:gridCol w:w="998"/>
        <w:gridCol w:w="4925"/>
        <w:gridCol w:w="2171"/>
      </w:tblGrid>
      <w:tr>
        <w:tblPrEx>
          <w:tblCellMar>
            <w:top w:w="0" w:type="dxa"/>
            <w:left w:w="108" w:type="dxa"/>
            <w:bottom w:w="0" w:type="dxa"/>
            <w:right w:w="108" w:type="dxa"/>
          </w:tblCellMar>
        </w:tblPrEx>
        <w:trPr>
          <w:trHeight w:val="860" w:hRule="atLeast"/>
        </w:trPr>
        <w:tc>
          <w:tcPr>
            <w:tcW w:w="487" w:type="dxa"/>
            <w:tcBorders>
              <w:top w:val="single" w:color="000000" w:sz="8" w:space="0"/>
              <w:left w:val="single" w:color="000000" w:sz="8" w:space="0"/>
              <w:bottom w:val="single" w:color="000000" w:sz="8" w:space="0"/>
              <w:right w:val="single" w:color="000000" w:sz="8" w:space="0"/>
            </w:tcBorders>
            <w:noWrap w:val="0"/>
            <w:vAlign w:val="center"/>
          </w:tcPr>
          <w:p>
            <w:pPr>
              <w:jc w:val="center"/>
              <w:textAlignment w:val="center"/>
              <w:rPr>
                <w:rFonts w:hint="eastAsia" w:ascii="宋体" w:eastAsia="宋体" w:cs="宋体"/>
                <w:b/>
                <w:bCs/>
                <w:color w:val="000000"/>
                <w:sz w:val="24"/>
                <w:szCs w:val="24"/>
                <w:lang w:bidi="ar-SA"/>
              </w:rPr>
            </w:pPr>
            <w:r>
              <w:rPr>
                <w:rFonts w:hint="eastAsia" w:ascii="宋体" w:eastAsia="宋体" w:cs="宋体"/>
                <w:b/>
                <w:bCs/>
                <w:color w:val="000000"/>
                <w:sz w:val="24"/>
                <w:szCs w:val="24"/>
                <w:lang w:bidi="ar-SA"/>
              </w:rPr>
              <w:t>序号</w:t>
            </w:r>
          </w:p>
        </w:tc>
        <w:tc>
          <w:tcPr>
            <w:tcW w:w="1028" w:type="dxa"/>
            <w:tcBorders>
              <w:top w:val="single" w:color="000000" w:sz="8" w:space="0"/>
              <w:left w:val="nil"/>
              <w:bottom w:val="single" w:color="000000" w:sz="8" w:space="0"/>
              <w:right w:val="single" w:color="000000" w:sz="8" w:space="0"/>
            </w:tcBorders>
            <w:noWrap w:val="0"/>
            <w:vAlign w:val="center"/>
          </w:tcPr>
          <w:p>
            <w:pPr>
              <w:jc w:val="center"/>
              <w:textAlignment w:val="center"/>
              <w:rPr>
                <w:rFonts w:hint="eastAsia" w:ascii="宋体" w:eastAsia="宋体" w:cs="宋体"/>
                <w:b/>
                <w:bCs/>
                <w:color w:val="000000"/>
                <w:sz w:val="24"/>
                <w:szCs w:val="24"/>
                <w:lang w:bidi="ar-SA"/>
              </w:rPr>
            </w:pPr>
            <w:r>
              <w:rPr>
                <w:rFonts w:hint="eastAsia" w:ascii="宋体" w:eastAsia="宋体" w:cs="宋体"/>
                <w:b/>
                <w:bCs/>
                <w:color w:val="000000"/>
                <w:sz w:val="24"/>
                <w:szCs w:val="24"/>
                <w:lang w:bidi="ar-SA"/>
              </w:rPr>
              <w:t>评分项目</w:t>
            </w:r>
          </w:p>
        </w:tc>
        <w:tc>
          <w:tcPr>
            <w:tcW w:w="998" w:type="dxa"/>
            <w:tcBorders>
              <w:top w:val="single" w:color="000000" w:sz="8" w:space="0"/>
              <w:left w:val="nil"/>
              <w:bottom w:val="single" w:color="000000" w:sz="8" w:space="0"/>
              <w:right w:val="single" w:color="000000" w:sz="8" w:space="0"/>
            </w:tcBorders>
            <w:noWrap w:val="0"/>
            <w:vAlign w:val="center"/>
          </w:tcPr>
          <w:p>
            <w:pPr>
              <w:jc w:val="center"/>
              <w:textAlignment w:val="center"/>
              <w:rPr>
                <w:rFonts w:hint="eastAsia" w:ascii="宋体" w:eastAsia="宋体" w:cs="宋体"/>
                <w:b/>
                <w:bCs/>
                <w:color w:val="000000"/>
                <w:sz w:val="24"/>
                <w:szCs w:val="24"/>
                <w:lang w:bidi="ar-SA"/>
              </w:rPr>
            </w:pPr>
            <w:r>
              <w:rPr>
                <w:rFonts w:hint="eastAsia" w:ascii="宋体" w:eastAsia="宋体" w:cs="宋体"/>
                <w:b/>
                <w:bCs/>
                <w:color w:val="000000"/>
                <w:sz w:val="24"/>
                <w:szCs w:val="24"/>
                <w:lang w:bidi="ar-SA"/>
              </w:rPr>
              <w:t>分值（分）</w:t>
            </w:r>
          </w:p>
        </w:tc>
        <w:tc>
          <w:tcPr>
            <w:tcW w:w="4925" w:type="dxa"/>
            <w:tcBorders>
              <w:top w:val="single" w:color="000000" w:sz="8" w:space="0"/>
              <w:left w:val="nil"/>
              <w:bottom w:val="single" w:color="000000" w:sz="8" w:space="0"/>
              <w:right w:val="single" w:color="000000" w:sz="8" w:space="0"/>
            </w:tcBorders>
            <w:noWrap w:val="0"/>
            <w:vAlign w:val="center"/>
          </w:tcPr>
          <w:p>
            <w:pPr>
              <w:jc w:val="center"/>
              <w:textAlignment w:val="center"/>
              <w:rPr>
                <w:rFonts w:hint="eastAsia" w:ascii="宋体" w:eastAsia="宋体" w:cs="宋体"/>
                <w:b/>
                <w:bCs/>
                <w:color w:val="000000"/>
                <w:sz w:val="24"/>
                <w:szCs w:val="24"/>
                <w:lang w:bidi="ar-SA"/>
              </w:rPr>
            </w:pPr>
            <w:r>
              <w:rPr>
                <w:rFonts w:hint="eastAsia" w:ascii="宋体" w:eastAsia="宋体" w:cs="宋体"/>
                <w:b/>
                <w:bCs/>
                <w:color w:val="000000"/>
                <w:sz w:val="24"/>
                <w:szCs w:val="24"/>
                <w:lang w:bidi="ar-SA"/>
              </w:rPr>
              <w:t>评分标准</w:t>
            </w:r>
          </w:p>
        </w:tc>
        <w:tc>
          <w:tcPr>
            <w:tcW w:w="2171" w:type="dxa"/>
            <w:tcBorders>
              <w:top w:val="single" w:color="000000" w:sz="8" w:space="0"/>
              <w:left w:val="nil"/>
              <w:bottom w:val="single" w:color="000000" w:sz="8" w:space="0"/>
              <w:right w:val="single" w:color="000000" w:sz="8" w:space="0"/>
            </w:tcBorders>
            <w:noWrap w:val="0"/>
            <w:vAlign w:val="center"/>
          </w:tcPr>
          <w:p>
            <w:pPr>
              <w:jc w:val="center"/>
              <w:textAlignment w:val="center"/>
              <w:rPr>
                <w:rFonts w:hint="eastAsia" w:ascii="宋体" w:eastAsia="宋体" w:cs="宋体"/>
                <w:b/>
                <w:bCs/>
                <w:color w:val="000000"/>
                <w:sz w:val="24"/>
                <w:szCs w:val="24"/>
                <w:lang w:bidi="ar-SA"/>
              </w:rPr>
            </w:pPr>
            <w:r>
              <w:rPr>
                <w:rFonts w:hint="eastAsia" w:ascii="宋体" w:eastAsia="宋体" w:cs="宋体"/>
                <w:b/>
                <w:bCs/>
                <w:color w:val="000000"/>
                <w:sz w:val="24"/>
                <w:szCs w:val="24"/>
                <w:lang w:bidi="ar-SA"/>
              </w:rPr>
              <w:t>说明</w:t>
            </w:r>
          </w:p>
        </w:tc>
      </w:tr>
      <w:tr>
        <w:tblPrEx>
          <w:tblCellMar>
            <w:top w:w="0" w:type="dxa"/>
            <w:left w:w="108" w:type="dxa"/>
            <w:bottom w:w="0" w:type="dxa"/>
            <w:right w:w="108" w:type="dxa"/>
          </w:tblCellMar>
        </w:tblPrEx>
        <w:trPr>
          <w:trHeight w:val="90" w:hRule="atLeast"/>
        </w:trPr>
        <w:tc>
          <w:tcPr>
            <w:tcW w:w="487" w:type="dxa"/>
            <w:tcBorders>
              <w:top w:val="nil"/>
              <w:left w:val="single" w:color="000000" w:sz="8" w:space="0"/>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r>
              <w:rPr>
                <w:rFonts w:hint="eastAsia" w:ascii="宋体" w:eastAsia="宋体" w:cs="宋体"/>
                <w:color w:val="000000"/>
                <w:sz w:val="24"/>
                <w:szCs w:val="24"/>
                <w:lang w:bidi="ar-SA"/>
              </w:rPr>
              <w:t>1</w:t>
            </w:r>
          </w:p>
        </w:tc>
        <w:tc>
          <w:tcPr>
            <w:tcW w:w="1028" w:type="dxa"/>
            <w:tcBorders>
              <w:top w:val="nil"/>
              <w:left w:val="nil"/>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r>
              <w:rPr>
                <w:rFonts w:hint="eastAsia" w:ascii="宋体" w:eastAsia="宋体" w:cs="宋体"/>
                <w:color w:val="000000"/>
                <w:sz w:val="24"/>
                <w:szCs w:val="24"/>
                <w:lang w:bidi="ar-SA"/>
              </w:rPr>
              <w:t>报价</w:t>
            </w:r>
          </w:p>
        </w:tc>
        <w:tc>
          <w:tcPr>
            <w:tcW w:w="998" w:type="dxa"/>
            <w:tcBorders>
              <w:top w:val="nil"/>
              <w:left w:val="nil"/>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r>
              <w:rPr>
                <w:rFonts w:hint="eastAsia" w:ascii="宋体" w:eastAsia="宋体" w:cs="宋体"/>
                <w:color w:val="000000"/>
                <w:sz w:val="24"/>
                <w:szCs w:val="24"/>
                <w:lang w:bidi="ar-SA"/>
              </w:rPr>
              <w:t>30</w:t>
            </w:r>
          </w:p>
        </w:tc>
        <w:tc>
          <w:tcPr>
            <w:tcW w:w="4925" w:type="dxa"/>
            <w:tcBorders>
              <w:top w:val="nil"/>
              <w:left w:val="nil"/>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r>
              <w:rPr>
                <w:rFonts w:hint="eastAsia" w:ascii="宋体" w:eastAsia="宋体" w:cs="宋体"/>
                <w:color w:val="000000"/>
                <w:sz w:val="24"/>
                <w:szCs w:val="24"/>
                <w:lang w:bidi="ar-SA"/>
              </w:rPr>
              <w:t>以满足招标文件要求且有效报价最低的投标报价为评标基准价，其价格分为满分。投标人的价格得分统一按以下公式计算：报价得分=（评标基准价÷投标报价）×30；</w:t>
            </w:r>
          </w:p>
          <w:p>
            <w:pPr>
              <w:jc w:val="center"/>
              <w:textAlignment w:val="center"/>
              <w:rPr>
                <w:rFonts w:hint="eastAsia" w:ascii="宋体" w:eastAsia="宋体" w:cs="宋体"/>
                <w:color w:val="000000"/>
                <w:sz w:val="24"/>
                <w:szCs w:val="24"/>
                <w:lang w:bidi="ar-SA"/>
              </w:rPr>
            </w:pPr>
            <w:r>
              <w:rPr>
                <w:rFonts w:hint="eastAsia" w:ascii="宋体" w:eastAsia="宋体" w:cs="宋体"/>
                <w:color w:val="000000"/>
                <w:sz w:val="24"/>
                <w:szCs w:val="24"/>
                <w:lang w:bidi="ar-SA"/>
              </w:rPr>
              <w:t>小微企业（监狱企业、残疾人福利性单位视同小微企业）价格扣除等政策评分按照本招标文件投标须知前附表规定执行。</w:t>
            </w:r>
          </w:p>
        </w:tc>
        <w:tc>
          <w:tcPr>
            <w:tcW w:w="2171" w:type="dxa"/>
            <w:tcBorders>
              <w:top w:val="nil"/>
              <w:left w:val="nil"/>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p>
        </w:tc>
      </w:tr>
      <w:tr>
        <w:tblPrEx>
          <w:tblCellMar>
            <w:top w:w="0" w:type="dxa"/>
            <w:left w:w="108" w:type="dxa"/>
            <w:bottom w:w="0" w:type="dxa"/>
            <w:right w:w="108" w:type="dxa"/>
          </w:tblCellMar>
        </w:tblPrEx>
        <w:trPr>
          <w:trHeight w:val="90" w:hRule="atLeast"/>
        </w:trPr>
        <w:tc>
          <w:tcPr>
            <w:tcW w:w="487" w:type="dxa"/>
            <w:tcBorders>
              <w:top w:val="nil"/>
              <w:left w:val="single" w:color="000000" w:sz="8" w:space="0"/>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r>
              <w:rPr>
                <w:rFonts w:hint="eastAsia" w:ascii="宋体" w:eastAsia="宋体" w:cs="宋体"/>
                <w:color w:val="000000"/>
                <w:sz w:val="24"/>
                <w:szCs w:val="24"/>
                <w:lang w:bidi="ar-SA"/>
              </w:rPr>
              <w:t>2</w:t>
            </w:r>
          </w:p>
        </w:tc>
        <w:tc>
          <w:tcPr>
            <w:tcW w:w="1028" w:type="dxa"/>
            <w:tcBorders>
              <w:top w:val="nil"/>
              <w:left w:val="nil"/>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r>
              <w:rPr>
                <w:rFonts w:hint="eastAsia" w:ascii="宋体" w:eastAsia="宋体" w:cs="宋体"/>
                <w:color w:val="000000"/>
                <w:sz w:val="24"/>
                <w:szCs w:val="24"/>
                <w:lang w:bidi="ar-SA"/>
              </w:rPr>
              <w:t>技术参数</w:t>
            </w:r>
          </w:p>
        </w:tc>
        <w:tc>
          <w:tcPr>
            <w:tcW w:w="998" w:type="dxa"/>
            <w:tcBorders>
              <w:top w:val="nil"/>
              <w:left w:val="nil"/>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val="en-US" w:eastAsia="zh-CN" w:bidi="ar-SA"/>
              </w:rPr>
            </w:pPr>
            <w:r>
              <w:rPr>
                <w:rFonts w:hint="eastAsia" w:ascii="宋体" w:eastAsia="宋体" w:cs="宋体"/>
                <w:color w:val="000000"/>
                <w:sz w:val="24"/>
                <w:szCs w:val="24"/>
                <w:lang w:val="en-US" w:eastAsia="zh-CN" w:bidi="ar-SA"/>
              </w:rPr>
              <w:t>42</w:t>
            </w:r>
          </w:p>
        </w:tc>
        <w:tc>
          <w:tcPr>
            <w:tcW w:w="4925" w:type="dxa"/>
            <w:tcBorders>
              <w:top w:val="nil"/>
              <w:left w:val="nil"/>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r>
              <w:rPr>
                <w:rFonts w:hint="eastAsia" w:ascii="宋体" w:eastAsia="宋体" w:cs="宋体"/>
                <w:color w:val="000000"/>
                <w:sz w:val="24"/>
                <w:szCs w:val="24"/>
                <w:lang w:bidi="ar-SA"/>
              </w:rPr>
              <w:t>完全满足招标文件技术参数和配置要求没有负偏离的得</w:t>
            </w:r>
            <w:r>
              <w:rPr>
                <w:rFonts w:hint="eastAsia" w:ascii="宋体" w:cs="宋体"/>
                <w:color w:val="000000"/>
                <w:sz w:val="24"/>
                <w:szCs w:val="24"/>
                <w:lang w:bidi="ar-SA"/>
              </w:rPr>
              <w:t>39</w:t>
            </w:r>
            <w:r>
              <w:rPr>
                <w:rFonts w:hint="eastAsia" w:ascii="宋体" w:eastAsia="宋体" w:cs="宋体"/>
                <w:color w:val="000000"/>
                <w:sz w:val="24"/>
                <w:szCs w:val="24"/>
                <w:lang w:bidi="ar-SA"/>
              </w:rPr>
              <w:t>分；带“▲”为重要技术参数，每有一项负偏离的扣1</w:t>
            </w:r>
            <w:r>
              <w:rPr>
                <w:rFonts w:hint="eastAsia" w:ascii="宋体" w:cs="宋体"/>
                <w:color w:val="000000"/>
                <w:sz w:val="24"/>
                <w:szCs w:val="24"/>
                <w:lang w:bidi="ar-SA"/>
              </w:rPr>
              <w:t>.5</w:t>
            </w:r>
            <w:r>
              <w:rPr>
                <w:rFonts w:hint="eastAsia" w:ascii="宋体" w:eastAsia="宋体" w:cs="宋体"/>
                <w:color w:val="000000"/>
                <w:sz w:val="24"/>
                <w:szCs w:val="24"/>
                <w:lang w:bidi="ar-SA"/>
              </w:rPr>
              <w:t>分；非“▲”要求为一般技术参数，每有一项负偏离的扣0.3 分。扣完为止。</w:t>
            </w:r>
          </w:p>
          <w:p>
            <w:pPr>
              <w:jc w:val="center"/>
              <w:textAlignment w:val="center"/>
              <w:rPr>
                <w:rFonts w:hint="eastAsia" w:ascii="宋体" w:eastAsia="宋体" w:cs="宋体"/>
                <w:color w:val="000000"/>
                <w:sz w:val="24"/>
                <w:szCs w:val="24"/>
                <w:lang w:bidi="ar-SA"/>
              </w:rPr>
            </w:pPr>
            <w:r>
              <w:rPr>
                <w:rFonts w:hint="eastAsia" w:ascii="宋体" w:eastAsia="宋体" w:cs="宋体"/>
                <w:color w:val="000000"/>
                <w:sz w:val="24"/>
                <w:szCs w:val="24"/>
                <w:lang w:bidi="ar-SA"/>
              </w:rPr>
              <w:t>注：▲项10项，共1</w:t>
            </w:r>
            <w:r>
              <w:rPr>
                <w:rFonts w:hint="eastAsia" w:ascii="宋体" w:cs="宋体"/>
                <w:color w:val="000000"/>
                <w:sz w:val="24"/>
                <w:szCs w:val="24"/>
                <w:lang w:bidi="ar-SA"/>
              </w:rPr>
              <w:t>5</w:t>
            </w:r>
            <w:r>
              <w:rPr>
                <w:rFonts w:hint="eastAsia" w:ascii="宋体" w:eastAsia="宋体" w:cs="宋体"/>
                <w:color w:val="000000"/>
                <w:sz w:val="24"/>
                <w:szCs w:val="24"/>
                <w:lang w:bidi="ar-SA"/>
              </w:rPr>
              <w:t>分；</w:t>
            </w:r>
          </w:p>
          <w:p>
            <w:pPr>
              <w:jc w:val="center"/>
              <w:textAlignment w:val="center"/>
              <w:rPr>
                <w:rFonts w:hint="eastAsia" w:ascii="宋体" w:eastAsia="宋体" w:cs="宋体"/>
                <w:color w:val="000000"/>
                <w:sz w:val="24"/>
                <w:szCs w:val="24"/>
                <w:lang w:bidi="ar-SA"/>
              </w:rPr>
            </w:pPr>
            <w:r>
              <w:rPr>
                <w:rFonts w:hint="eastAsia" w:ascii="宋体" w:eastAsia="宋体" w:cs="宋体"/>
                <w:color w:val="000000"/>
                <w:sz w:val="24"/>
                <w:szCs w:val="24"/>
                <w:lang w:bidi="ar-SA"/>
              </w:rPr>
              <w:t>非▲项</w:t>
            </w:r>
            <w:r>
              <w:rPr>
                <w:rFonts w:hint="eastAsia" w:ascii="宋体" w:eastAsia="宋体" w:cs="宋体"/>
                <w:color w:val="000000"/>
                <w:sz w:val="24"/>
                <w:szCs w:val="24"/>
                <w:lang w:val="en-US" w:eastAsia="zh-CN" w:bidi="ar-SA"/>
              </w:rPr>
              <w:t>9</w:t>
            </w:r>
            <w:r>
              <w:rPr>
                <w:rFonts w:hint="eastAsia" w:ascii="宋体" w:eastAsia="宋体" w:cs="宋体"/>
                <w:color w:val="000000"/>
                <w:sz w:val="24"/>
                <w:szCs w:val="24"/>
                <w:lang w:bidi="ar-SA"/>
              </w:rPr>
              <w:t>0项，共2</w:t>
            </w:r>
            <w:r>
              <w:rPr>
                <w:rFonts w:hint="eastAsia" w:ascii="宋体" w:eastAsia="宋体" w:cs="宋体"/>
                <w:color w:val="000000"/>
                <w:sz w:val="24"/>
                <w:szCs w:val="24"/>
                <w:lang w:val="en-US" w:eastAsia="zh-CN" w:bidi="ar-SA"/>
              </w:rPr>
              <w:t>7</w:t>
            </w:r>
            <w:r>
              <w:rPr>
                <w:rFonts w:hint="eastAsia" w:ascii="宋体" w:eastAsia="宋体" w:cs="宋体"/>
                <w:color w:val="000000"/>
                <w:sz w:val="24"/>
                <w:szCs w:val="24"/>
                <w:lang w:bidi="ar-SA"/>
              </w:rPr>
              <w:t>分。</w:t>
            </w:r>
          </w:p>
        </w:tc>
        <w:tc>
          <w:tcPr>
            <w:tcW w:w="2171" w:type="dxa"/>
            <w:tcBorders>
              <w:top w:val="nil"/>
              <w:left w:val="nil"/>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r>
              <w:rPr>
                <w:rFonts w:hint="eastAsia" w:ascii="宋体" w:eastAsia="宋体" w:cs="宋体"/>
                <w:color w:val="000000"/>
                <w:sz w:val="24"/>
                <w:szCs w:val="24"/>
                <w:lang w:bidi="ar-SA"/>
              </w:rPr>
              <w:t>未提供招标文件要求的相关证明文件视为负偏离。</w:t>
            </w:r>
          </w:p>
        </w:tc>
      </w:tr>
      <w:tr>
        <w:tblPrEx>
          <w:tblCellMar>
            <w:top w:w="0" w:type="dxa"/>
            <w:left w:w="108" w:type="dxa"/>
            <w:bottom w:w="0" w:type="dxa"/>
            <w:right w:w="108" w:type="dxa"/>
          </w:tblCellMar>
        </w:tblPrEx>
        <w:trPr>
          <w:trHeight w:val="860" w:hRule="atLeast"/>
        </w:trPr>
        <w:tc>
          <w:tcPr>
            <w:tcW w:w="487" w:type="dxa"/>
            <w:tcBorders>
              <w:top w:val="nil"/>
              <w:left w:val="single" w:color="000000" w:sz="8" w:space="0"/>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r>
              <w:rPr>
                <w:rFonts w:hint="eastAsia" w:ascii="宋体" w:eastAsia="宋体" w:cs="宋体"/>
                <w:color w:val="000000"/>
                <w:sz w:val="24"/>
                <w:szCs w:val="24"/>
                <w:lang w:bidi="ar-SA"/>
              </w:rPr>
              <w:t>3</w:t>
            </w:r>
          </w:p>
        </w:tc>
        <w:tc>
          <w:tcPr>
            <w:tcW w:w="1028" w:type="dxa"/>
            <w:tcBorders>
              <w:top w:val="nil"/>
              <w:left w:val="nil"/>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r>
              <w:rPr>
                <w:rFonts w:hint="eastAsia" w:ascii="宋体" w:eastAsia="宋体" w:cs="宋体"/>
                <w:color w:val="000000"/>
                <w:sz w:val="24"/>
                <w:szCs w:val="24"/>
                <w:lang w:bidi="ar-SA"/>
              </w:rPr>
              <w:t>履约能力</w:t>
            </w:r>
          </w:p>
        </w:tc>
        <w:tc>
          <w:tcPr>
            <w:tcW w:w="998" w:type="dxa"/>
            <w:tcBorders>
              <w:top w:val="nil"/>
              <w:left w:val="nil"/>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eastAsia="zh-CN" w:bidi="ar-SA"/>
              </w:rPr>
            </w:pPr>
            <w:r>
              <w:rPr>
                <w:rFonts w:hint="eastAsia" w:ascii="宋体" w:eastAsia="宋体" w:cs="宋体"/>
                <w:color w:val="000000"/>
                <w:sz w:val="24"/>
                <w:szCs w:val="24"/>
                <w:lang w:val="en-US" w:eastAsia="zh-CN" w:bidi="ar-SA"/>
              </w:rPr>
              <w:t>3</w:t>
            </w:r>
          </w:p>
        </w:tc>
        <w:tc>
          <w:tcPr>
            <w:tcW w:w="4925" w:type="dxa"/>
            <w:tcBorders>
              <w:top w:val="nil"/>
              <w:left w:val="nil"/>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r>
              <w:rPr>
                <w:rFonts w:hint="eastAsia" w:ascii="宋体" w:eastAsia="宋体" w:cs="宋体"/>
                <w:color w:val="000000"/>
                <w:sz w:val="24"/>
                <w:szCs w:val="24"/>
                <w:lang w:bidi="ar-SA"/>
              </w:rPr>
              <w:t>提供 2017年1月1日以来的类似项目业绩，提供 1个得</w:t>
            </w:r>
            <w:r>
              <w:rPr>
                <w:rFonts w:hint="eastAsia" w:ascii="宋体" w:eastAsia="宋体" w:cs="宋体"/>
                <w:color w:val="000000"/>
                <w:sz w:val="24"/>
                <w:szCs w:val="24"/>
                <w:lang w:val="en-US" w:eastAsia="zh-CN" w:bidi="ar-SA"/>
              </w:rPr>
              <w:t>1</w:t>
            </w:r>
            <w:r>
              <w:rPr>
                <w:rFonts w:hint="eastAsia" w:ascii="宋体" w:eastAsia="宋体" w:cs="宋体"/>
                <w:color w:val="000000"/>
                <w:sz w:val="24"/>
                <w:szCs w:val="24"/>
                <w:lang w:bidi="ar-SA"/>
              </w:rPr>
              <w:t>分，最多得</w:t>
            </w:r>
            <w:r>
              <w:rPr>
                <w:rFonts w:hint="eastAsia" w:ascii="宋体" w:eastAsia="宋体" w:cs="宋体"/>
                <w:color w:val="000000"/>
                <w:sz w:val="24"/>
                <w:szCs w:val="24"/>
                <w:lang w:val="en-US" w:eastAsia="zh-CN" w:bidi="ar-SA"/>
              </w:rPr>
              <w:t>3</w:t>
            </w:r>
            <w:r>
              <w:rPr>
                <w:rFonts w:hint="eastAsia" w:ascii="宋体" w:eastAsia="宋体" w:cs="宋体"/>
                <w:color w:val="000000"/>
                <w:sz w:val="24"/>
                <w:szCs w:val="24"/>
                <w:lang w:bidi="ar-SA"/>
              </w:rPr>
              <w:t>分。同一案例不重复计分。</w:t>
            </w:r>
          </w:p>
        </w:tc>
        <w:tc>
          <w:tcPr>
            <w:tcW w:w="2171" w:type="dxa"/>
            <w:tcBorders>
              <w:top w:val="nil"/>
              <w:left w:val="nil"/>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r>
              <w:rPr>
                <w:rFonts w:hint="eastAsia" w:ascii="宋体" w:eastAsia="宋体" w:cs="宋体"/>
                <w:color w:val="000000"/>
                <w:sz w:val="24"/>
                <w:szCs w:val="24"/>
                <w:lang w:bidi="ar-SA"/>
              </w:rPr>
              <w:t>项目业绩需提供合同项目扫描件关键页：包括合同内容、合同金额、签字盖章页等，并加盖供应商鲜章，否则不计分。</w:t>
            </w:r>
          </w:p>
        </w:tc>
      </w:tr>
      <w:tr>
        <w:tblPrEx>
          <w:tblCellMar>
            <w:top w:w="0" w:type="dxa"/>
            <w:left w:w="108" w:type="dxa"/>
            <w:bottom w:w="0" w:type="dxa"/>
            <w:right w:w="108" w:type="dxa"/>
          </w:tblCellMar>
        </w:tblPrEx>
        <w:trPr>
          <w:trHeight w:val="860" w:hRule="atLeast"/>
        </w:trPr>
        <w:tc>
          <w:tcPr>
            <w:tcW w:w="487" w:type="dxa"/>
            <w:tcBorders>
              <w:top w:val="nil"/>
              <w:left w:val="single" w:color="000000" w:sz="8" w:space="0"/>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r>
              <w:rPr>
                <w:rFonts w:hint="eastAsia" w:ascii="宋体" w:eastAsia="宋体" w:cs="宋体"/>
                <w:color w:val="000000"/>
                <w:sz w:val="24"/>
                <w:szCs w:val="24"/>
                <w:lang w:bidi="ar-SA"/>
              </w:rPr>
              <w:t>4</w:t>
            </w:r>
          </w:p>
        </w:tc>
        <w:tc>
          <w:tcPr>
            <w:tcW w:w="1028" w:type="dxa"/>
            <w:tcBorders>
              <w:top w:val="nil"/>
              <w:left w:val="nil"/>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r>
              <w:rPr>
                <w:rFonts w:hint="eastAsia" w:ascii="宋体" w:eastAsia="宋体" w:cs="宋体"/>
                <w:color w:val="000000"/>
                <w:sz w:val="24"/>
                <w:szCs w:val="24"/>
                <w:lang w:bidi="ar-SA"/>
              </w:rPr>
              <w:t>项目建设方案</w:t>
            </w:r>
          </w:p>
        </w:tc>
        <w:tc>
          <w:tcPr>
            <w:tcW w:w="998" w:type="dxa"/>
            <w:tcBorders>
              <w:top w:val="nil"/>
              <w:left w:val="nil"/>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r>
              <w:rPr>
                <w:rFonts w:hint="eastAsia" w:ascii="宋体" w:eastAsia="宋体" w:cs="宋体"/>
                <w:color w:val="000000"/>
                <w:sz w:val="24"/>
                <w:szCs w:val="24"/>
                <w:lang w:bidi="ar-SA"/>
              </w:rPr>
              <w:t>2</w:t>
            </w:r>
            <w:r>
              <w:rPr>
                <w:rFonts w:hint="eastAsia" w:ascii="宋体" w:cs="宋体"/>
                <w:color w:val="000000"/>
                <w:sz w:val="24"/>
                <w:szCs w:val="24"/>
                <w:lang w:bidi="ar-SA"/>
              </w:rPr>
              <w:t>0</w:t>
            </w:r>
          </w:p>
        </w:tc>
        <w:tc>
          <w:tcPr>
            <w:tcW w:w="4925" w:type="dxa"/>
            <w:tcBorders>
              <w:top w:val="nil"/>
              <w:left w:val="nil"/>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r>
              <w:rPr>
                <w:rFonts w:hint="eastAsia" w:ascii="宋体" w:eastAsia="宋体" w:cs="宋体"/>
                <w:color w:val="000000"/>
                <w:sz w:val="24"/>
                <w:szCs w:val="24"/>
                <w:lang w:bidi="ar-SA"/>
              </w:rPr>
              <w:t>投标人提供项目建设方案，方案包括但不限于①质保期承诺②本地化服务③应急处理④培训方案⑤现场服务支持能力。方案包含以上内容得20分；每缺少一项内容或每有一项内容不完整扣</w:t>
            </w:r>
            <w:r>
              <w:rPr>
                <w:rFonts w:hint="eastAsia" w:ascii="宋体" w:cs="宋体"/>
                <w:color w:val="000000"/>
                <w:sz w:val="24"/>
                <w:szCs w:val="24"/>
                <w:lang w:bidi="ar-SA"/>
              </w:rPr>
              <w:t>4</w:t>
            </w:r>
            <w:r>
              <w:rPr>
                <w:rFonts w:hint="eastAsia" w:ascii="宋体" w:eastAsia="宋体" w:cs="宋体"/>
                <w:color w:val="000000"/>
                <w:sz w:val="24"/>
                <w:szCs w:val="24"/>
                <w:lang w:bidi="ar-SA"/>
              </w:rPr>
              <w:t>分，方案中每有一处不切实可行或有逻辑性错误或不具有针对性的扣1分；本项最多扣2</w:t>
            </w:r>
            <w:r>
              <w:rPr>
                <w:rFonts w:hint="eastAsia" w:ascii="宋体" w:cs="宋体"/>
                <w:color w:val="000000"/>
                <w:sz w:val="24"/>
                <w:szCs w:val="24"/>
                <w:lang w:bidi="ar-SA"/>
              </w:rPr>
              <w:t>0</w:t>
            </w:r>
            <w:r>
              <w:rPr>
                <w:rFonts w:hint="eastAsia" w:ascii="宋体" w:eastAsia="宋体" w:cs="宋体"/>
                <w:color w:val="000000"/>
                <w:sz w:val="24"/>
                <w:szCs w:val="24"/>
                <w:lang w:bidi="ar-SA"/>
              </w:rPr>
              <w:t>分。</w:t>
            </w:r>
          </w:p>
        </w:tc>
        <w:tc>
          <w:tcPr>
            <w:tcW w:w="2171" w:type="dxa"/>
            <w:tcBorders>
              <w:top w:val="nil"/>
              <w:left w:val="nil"/>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p>
        </w:tc>
      </w:tr>
      <w:tr>
        <w:tblPrEx>
          <w:tblCellMar>
            <w:top w:w="0" w:type="dxa"/>
            <w:left w:w="108" w:type="dxa"/>
            <w:bottom w:w="0" w:type="dxa"/>
            <w:right w:w="108" w:type="dxa"/>
          </w:tblCellMar>
        </w:tblPrEx>
        <w:trPr>
          <w:trHeight w:val="5395" w:hRule="atLeast"/>
        </w:trPr>
        <w:tc>
          <w:tcPr>
            <w:tcW w:w="487" w:type="dxa"/>
            <w:tcBorders>
              <w:top w:val="nil"/>
              <w:left w:val="single" w:color="000000" w:sz="8" w:space="0"/>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r>
              <w:rPr>
                <w:rFonts w:hint="eastAsia" w:ascii="宋体" w:eastAsia="宋体" w:cs="宋体"/>
                <w:color w:val="000000"/>
                <w:sz w:val="24"/>
                <w:szCs w:val="24"/>
                <w:lang w:bidi="ar-SA"/>
              </w:rPr>
              <w:t>5</w:t>
            </w:r>
          </w:p>
        </w:tc>
        <w:tc>
          <w:tcPr>
            <w:tcW w:w="1028" w:type="dxa"/>
            <w:tcBorders>
              <w:top w:val="nil"/>
              <w:left w:val="nil"/>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r>
              <w:rPr>
                <w:rFonts w:hint="eastAsia" w:ascii="宋体" w:eastAsia="宋体" w:cs="宋体"/>
                <w:color w:val="000000"/>
                <w:sz w:val="24"/>
                <w:szCs w:val="24"/>
                <w:lang w:bidi="ar-SA"/>
              </w:rPr>
              <w:t>节能、环境标志产品</w:t>
            </w:r>
          </w:p>
        </w:tc>
        <w:tc>
          <w:tcPr>
            <w:tcW w:w="998" w:type="dxa"/>
            <w:tcBorders>
              <w:top w:val="nil"/>
              <w:left w:val="nil"/>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r>
              <w:rPr>
                <w:rFonts w:hint="eastAsia" w:ascii="宋体" w:eastAsia="宋体" w:cs="宋体"/>
                <w:color w:val="000000"/>
                <w:sz w:val="24"/>
                <w:szCs w:val="24"/>
                <w:lang w:bidi="ar-SA"/>
              </w:rPr>
              <w:t>2</w:t>
            </w:r>
          </w:p>
        </w:tc>
        <w:tc>
          <w:tcPr>
            <w:tcW w:w="4925" w:type="dxa"/>
            <w:tcBorders>
              <w:top w:val="nil"/>
              <w:left w:val="nil"/>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r>
              <w:rPr>
                <w:rFonts w:hint="eastAsia" w:ascii="宋体" w:eastAsia="宋体" w:cs="宋体"/>
                <w:color w:val="000000"/>
                <w:sz w:val="24"/>
                <w:szCs w:val="24"/>
                <w:lang w:bidi="ar-SA"/>
              </w:rPr>
              <w:t>投标产品属于国家优先采购范围的，则每有一项为政府采购节能产品或者环境标志产品或者无线局域网产品的得 1 分，非政府采购节能、环境标志产品的、 无线局域网产品的不得分。本项最多得2分。</w:t>
            </w:r>
          </w:p>
          <w:p>
            <w:pPr>
              <w:jc w:val="center"/>
              <w:textAlignment w:val="center"/>
              <w:rPr>
                <w:rFonts w:hint="eastAsia" w:ascii="宋体" w:eastAsia="宋体" w:cs="宋体"/>
                <w:color w:val="000000"/>
                <w:sz w:val="24"/>
                <w:szCs w:val="24"/>
                <w:lang w:bidi="ar-SA"/>
              </w:rPr>
            </w:pPr>
            <w:r>
              <w:rPr>
                <w:rFonts w:hint="eastAsia" w:ascii="宋体" w:eastAsia="宋体" w:cs="宋体"/>
                <w:color w:val="000000"/>
                <w:sz w:val="24"/>
                <w:szCs w:val="24"/>
                <w:lang w:bidi="ar-SA"/>
              </w:rPr>
              <w:t>注：按照《关于调整优化节能产品、环境标志产品政府采购执行机制的通知》（财库〔2019〕9 号）的规定，属于政府优先采购的品目清单范围的，提供国家确定的认证机构出具的、处于有效期之内的节能产品、环境标志产品认证证书或中国政府采购网查询截图。强制节能产品和环境标志产品除外。</w:t>
            </w:r>
          </w:p>
        </w:tc>
        <w:tc>
          <w:tcPr>
            <w:tcW w:w="2171" w:type="dxa"/>
            <w:tcBorders>
              <w:top w:val="nil"/>
              <w:left w:val="nil"/>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p>
        </w:tc>
      </w:tr>
      <w:tr>
        <w:tblPrEx>
          <w:tblCellMar>
            <w:top w:w="0" w:type="dxa"/>
            <w:left w:w="108" w:type="dxa"/>
            <w:bottom w:w="0" w:type="dxa"/>
            <w:right w:w="108" w:type="dxa"/>
          </w:tblCellMar>
        </w:tblPrEx>
        <w:trPr>
          <w:trHeight w:val="860" w:hRule="atLeast"/>
        </w:trPr>
        <w:tc>
          <w:tcPr>
            <w:tcW w:w="487" w:type="dxa"/>
            <w:tcBorders>
              <w:top w:val="nil"/>
              <w:left w:val="single" w:color="000000" w:sz="8" w:space="0"/>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r>
              <w:rPr>
                <w:rFonts w:hint="eastAsia" w:ascii="宋体" w:eastAsia="宋体" w:cs="宋体"/>
                <w:color w:val="000000"/>
                <w:sz w:val="24"/>
                <w:szCs w:val="24"/>
                <w:lang w:bidi="ar-SA"/>
              </w:rPr>
              <w:t>6</w:t>
            </w:r>
          </w:p>
        </w:tc>
        <w:tc>
          <w:tcPr>
            <w:tcW w:w="1028" w:type="dxa"/>
            <w:tcBorders>
              <w:top w:val="nil"/>
              <w:left w:val="nil"/>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r>
              <w:rPr>
                <w:rFonts w:hint="eastAsia" w:ascii="宋体" w:eastAsia="宋体" w:cs="宋体"/>
                <w:color w:val="000000"/>
                <w:sz w:val="24"/>
                <w:szCs w:val="24"/>
                <w:lang w:bidi="ar-SA"/>
              </w:rPr>
              <w:t>投标文件的规范性</w:t>
            </w:r>
          </w:p>
        </w:tc>
        <w:tc>
          <w:tcPr>
            <w:tcW w:w="998" w:type="dxa"/>
            <w:tcBorders>
              <w:top w:val="nil"/>
              <w:left w:val="nil"/>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r>
              <w:rPr>
                <w:rFonts w:hint="eastAsia" w:ascii="宋体" w:cs="宋体"/>
                <w:color w:val="000000"/>
                <w:sz w:val="24"/>
                <w:szCs w:val="24"/>
                <w:lang w:bidi="ar-SA"/>
              </w:rPr>
              <w:t>3</w:t>
            </w:r>
          </w:p>
        </w:tc>
        <w:tc>
          <w:tcPr>
            <w:tcW w:w="4925" w:type="dxa"/>
            <w:tcBorders>
              <w:top w:val="nil"/>
              <w:left w:val="nil"/>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r>
              <w:rPr>
                <w:rFonts w:hint="eastAsia" w:ascii="宋体" w:eastAsia="宋体" w:cs="宋体"/>
                <w:color w:val="000000"/>
                <w:sz w:val="24"/>
                <w:szCs w:val="24"/>
                <w:lang w:bidi="ar-SA"/>
              </w:rPr>
              <w:t>投标文件制作规范，没有细微偏差情形的得</w:t>
            </w:r>
            <w:r>
              <w:rPr>
                <w:rFonts w:hint="eastAsia" w:ascii="宋体" w:cs="宋体"/>
                <w:color w:val="000000"/>
                <w:sz w:val="24"/>
                <w:szCs w:val="24"/>
                <w:lang w:bidi="ar-SA"/>
              </w:rPr>
              <w:t>3</w:t>
            </w:r>
            <w:r>
              <w:rPr>
                <w:rFonts w:hint="eastAsia" w:ascii="宋体" w:eastAsia="宋体" w:cs="宋体"/>
                <w:color w:val="000000"/>
                <w:sz w:val="24"/>
                <w:szCs w:val="24"/>
                <w:lang w:bidi="ar-SA"/>
              </w:rPr>
              <w:t>分；有一项细微偏差扣0.5分，直至该项分值扣完为止。</w:t>
            </w:r>
          </w:p>
        </w:tc>
        <w:tc>
          <w:tcPr>
            <w:tcW w:w="2171" w:type="dxa"/>
            <w:tcBorders>
              <w:top w:val="nil"/>
              <w:left w:val="nil"/>
              <w:bottom w:val="single" w:color="000000" w:sz="8" w:space="0"/>
              <w:right w:val="single" w:color="000000" w:sz="8" w:space="0"/>
            </w:tcBorders>
            <w:noWrap/>
            <w:vAlign w:val="center"/>
          </w:tcPr>
          <w:p>
            <w:pPr>
              <w:jc w:val="center"/>
              <w:textAlignment w:val="center"/>
              <w:rPr>
                <w:rFonts w:hint="eastAsia" w:ascii="宋体" w:eastAsia="宋体" w:cs="宋体"/>
                <w:color w:val="000000"/>
                <w:sz w:val="24"/>
                <w:szCs w:val="24"/>
                <w:lang w:bidi="ar-SA"/>
              </w:rPr>
            </w:pPr>
          </w:p>
        </w:tc>
      </w:tr>
    </w:tbl>
    <w:p>
      <w:pPr>
        <w:spacing w:after="0" w:line="580" w:lineRule="exact"/>
        <w:jc w:val="both"/>
        <w:rPr>
          <w:rFonts w:hint="eastAsia" w:ascii="仿宋_GB2312" w:eastAsia="仿宋_GB2312"/>
          <w:b/>
          <w:spacing w:val="20"/>
          <w:sz w:val="32"/>
          <w:szCs w:val="32"/>
        </w:rPr>
      </w:pPr>
    </w:p>
    <w:p>
      <w:pPr>
        <w:pStyle w:val="5"/>
        <w:spacing w:before="0" w:beforeAutospacing="0" w:after="0" w:afterAutospacing="0" w:line="578" w:lineRule="exact"/>
        <w:ind w:left="0" w:right="0" w:firstLine="0"/>
        <w:rPr>
          <w:rFonts w:hint="eastAsia" w:ascii="仿宋_GB2312" w:eastAsia="仿宋_GB2312"/>
          <w:color w:val="333333"/>
          <w:spacing w:val="0"/>
          <w:sz w:val="32"/>
          <w:szCs w:val="32"/>
        </w:rPr>
      </w:pPr>
    </w:p>
    <w:p>
      <w:pPr>
        <w:spacing w:line="578" w:lineRule="exact"/>
      </w:pPr>
      <w:r>
        <w:pgNum/>
      </w:r>
    </w:p>
    <w:p>
      <w:bookmarkStart w:id="1" w:name="_GoBack"/>
      <w:bookmarkEnd w:id="1"/>
    </w:p>
    <w:sectPr>
      <w:pgSz w:w="11901" w:h="16840"/>
      <w:pgMar w:top="2098" w:right="1474" w:bottom="1985" w:left="1588"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永中宋体">
    <w:altName w:val="宋体"/>
    <w:panose1 w:val="02010600030101010101"/>
    <w:charset w:val="86"/>
    <w:family w:val="auto"/>
    <w:pitch w:val="default"/>
    <w:sig w:usb0="00000000"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JjYzlhMmI5NWU5MTUzZWRmOTA5Mjk1MGZiZDc0ZGIifQ=="/>
  </w:docVars>
  <w:rsids>
    <w:rsidRoot w:val="00000000"/>
    <w:rsid w:val="40DA1EF0"/>
    <w:rsid w:val="642D0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jc w:val="left"/>
    </w:pPr>
    <w:rPr>
      <w:rFonts w:ascii="宋体" w:hAnsi="永中宋体" w:eastAsia="宋体" w:cs="永中宋体"/>
      <w:kern w:val="2"/>
      <w:sz w:val="24"/>
      <w:szCs w:val="21"/>
      <w:lang w:val="en-US" w:eastAsia="zh-CN" w:bidi="ar-SA"/>
    </w:rPr>
  </w:style>
  <w:style w:type="paragraph" w:styleId="2">
    <w:name w:val="heading 2"/>
    <w:next w:val="1"/>
    <w:qFormat/>
    <w:uiPriority w:val="0"/>
    <w:pPr>
      <w:keepNext/>
      <w:keepLines/>
      <w:widowControl w:val="0"/>
      <w:adjustRightInd/>
      <w:snapToGrid/>
      <w:spacing w:before="260" w:after="260" w:line="415" w:lineRule="auto"/>
      <w:jc w:val="both"/>
      <w:outlineLvl w:val="1"/>
    </w:pPr>
    <w:rPr>
      <w:rFonts w:ascii="Arial" w:hAnsi="Arial" w:eastAsia="黑体" w:cs="Times New Roman"/>
      <w:b/>
      <w:bCs/>
      <w:kern w:val="2"/>
      <w:sz w:val="32"/>
      <w:szCs w:val="3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before="0" w:after="140" w:line="276" w:lineRule="auto"/>
    </w:pPr>
  </w:style>
  <w:style w:type="paragraph" w:styleId="4">
    <w:name w:val="footer"/>
    <w:next w:val="3"/>
    <w:qFormat/>
    <w:uiPriority w:val="0"/>
    <w:pPr>
      <w:tabs>
        <w:tab w:val="center" w:pos="4153"/>
        <w:tab w:val="right" w:pos="8306"/>
      </w:tabs>
      <w:adjustRightInd w:val="0"/>
      <w:snapToGrid w:val="0"/>
      <w:spacing w:after="200"/>
    </w:pPr>
    <w:rPr>
      <w:rFonts w:ascii="Tahoma" w:hAnsi="Tahoma" w:eastAsia="微软雅黑" w:cs="Arial"/>
      <w:sz w:val="18"/>
      <w:szCs w:val="18"/>
      <w:lang w:val="en-US" w:eastAsia="zh-CN" w:bidi="ar-SA"/>
    </w:rPr>
  </w:style>
  <w:style w:type="paragraph" w:styleId="5">
    <w:name w:val="Normal (Web)"/>
    <w:qFormat/>
    <w:uiPriority w:val="0"/>
    <w:pPr>
      <w:widowControl w:val="0"/>
      <w:spacing w:before="100" w:beforeAutospacing="1" w:after="100" w:afterAutospacing="1" w:line="240" w:lineRule="auto"/>
      <w:jc w:val="left"/>
    </w:pPr>
    <w:rPr>
      <w:rFonts w:ascii="宋体" w:hAnsi="永中宋体" w:eastAsia="宋体" w:cs="永中宋体"/>
      <w:kern w:val="2"/>
      <w:sz w:val="24"/>
      <w:szCs w:val="21"/>
      <w:lang w:val="en-US" w:eastAsia="zh-CN" w:bidi="ar-SA"/>
    </w:rPr>
  </w:style>
  <w:style w:type="character" w:styleId="8">
    <w:name w:val="page number"/>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1588</Words>
  <Characters>1666</Characters>
  <Lines>0</Lines>
  <Paragraphs>0</Paragraphs>
  <TotalTime>0</TotalTime>
  <ScaleCrop>false</ScaleCrop>
  <LinksUpToDate>false</LinksUpToDate>
  <CharactersWithSpaces>1674</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灵枫萧瑟</cp:lastModifiedBy>
  <dcterms:modified xsi:type="dcterms:W3CDTF">2022-08-22T10:40:43Z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5B746B7041B546E3837BF9504EFA4F6E</vt:lpwstr>
  </property>
</Properties>
</file>